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bookmarkStart w:id="0" w:name="_GoBack"/>
      <w:bookmarkEnd w:id="0"/>
    </w:p>
    <w:p w14:paraId="6B2BA6FD" w14:textId="77777777" w:rsidR="00CB00D3" w:rsidRDefault="00CB00D3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70579860" w:rsidR="00523A3D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2316E3">
        <w:rPr>
          <w:rFonts w:asciiTheme="minorHAnsi" w:hAnsiTheme="minorHAnsi" w:cstheme="minorHAnsi"/>
          <w:b/>
          <w:szCs w:val="19"/>
        </w:rPr>
        <w:t>Rizikové indikátory k možným porušeniam zákona o ochrane hospodárskej súťaže</w:t>
      </w:r>
      <w:r>
        <w:rPr>
          <w:rStyle w:val="Odkaznapoznmkupodiarou"/>
          <w:rFonts w:cstheme="minorHAnsi"/>
          <w:b/>
          <w:szCs w:val="19"/>
        </w:rPr>
        <w:footnoteReference w:id="2"/>
      </w:r>
    </w:p>
    <w:p w14:paraId="214A3BB4" w14:textId="77777777" w:rsidR="002316E3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789B451B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5C9C5A28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7B721BA" w14:textId="77777777" w:rsidR="002316E3" w:rsidRP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 xml:space="preserve">Odporúčame prijímateľovi resp. osobám, ktoré poveril výkonom VO a tiež členom komisie oboznámiť sa s rizikovými indikátormi a ďalšie činnosti  vykonávať s ohľadom na dostatočné využitie tejto vedomosti. </w:t>
      </w:r>
    </w:p>
    <w:p w14:paraId="753B9515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7E11C04" w14:textId="4795E5C4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2316E3">
        <w:rPr>
          <w:rFonts w:asciiTheme="minorHAnsi" w:hAnsiTheme="minorHAnsi" w:cstheme="minorHAnsi"/>
          <w:szCs w:val="19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09D33DB2" w14:textId="77777777" w:rsidR="002316E3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7F27AE8" w14:textId="1430DAD0" w:rsid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Zoznam rizikových indikátorov:</w:t>
      </w:r>
    </w:p>
    <w:p w14:paraId="1EAAA962" w14:textId="77777777" w:rsidR="0013284C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Deloittetable1"/>
        <w:tblW w:w="0" w:type="auto"/>
        <w:tblBorders>
          <w:left w:val="single" w:sz="4" w:space="0" w:color="92D400"/>
          <w:right w:val="single" w:sz="4" w:space="0" w:color="92D400"/>
          <w:insideV w:val="single" w:sz="4" w:space="0" w:color="92D400"/>
        </w:tblBorders>
        <w:tblLook w:val="04A0" w:firstRow="1" w:lastRow="0" w:firstColumn="1" w:lastColumn="0" w:noHBand="0" w:noVBand="1"/>
      </w:tblPr>
      <w:tblGrid>
        <w:gridCol w:w="454"/>
        <w:gridCol w:w="4394"/>
        <w:gridCol w:w="4278"/>
      </w:tblGrid>
      <w:tr w:rsidR="0013284C" w14:paraId="6FEC8631" w14:textId="77777777" w:rsidTr="00132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70ABE72" w14:textId="4906C040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P.č.</w:t>
            </w:r>
          </w:p>
        </w:tc>
        <w:tc>
          <w:tcPr>
            <w:tcW w:w="4394" w:type="dxa"/>
            <w:vAlign w:val="center"/>
          </w:tcPr>
          <w:p w14:paraId="6238E07F" w14:textId="2DD3DAF1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Názov rizikového indikátora</w:t>
            </w:r>
          </w:p>
        </w:tc>
        <w:tc>
          <w:tcPr>
            <w:tcW w:w="4278" w:type="dxa"/>
            <w:vAlign w:val="center"/>
          </w:tcPr>
          <w:p w14:paraId="3B09541C" w14:textId="7743A97B" w:rsidR="0013284C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13284C">
              <w:rPr>
                <w:rFonts w:asciiTheme="minorHAnsi" w:hAnsiTheme="minorHAnsi" w:cstheme="minorHAnsi"/>
                <w:szCs w:val="19"/>
              </w:rPr>
              <w:t>Popis rizikového indikátora</w:t>
            </w:r>
          </w:p>
        </w:tc>
      </w:tr>
      <w:tr w:rsidR="0013284C" w14:paraId="023F4ADA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FE505B4" w14:textId="1BB242BC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394" w:type="dxa"/>
            <w:vAlign w:val="center"/>
          </w:tcPr>
          <w:p w14:paraId="7018A6A0" w14:textId="3B91425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Rotácia úspešných uchádzačov podľa regiónu, typu služby, tovaru alebo práce</w:t>
            </w:r>
          </w:p>
        </w:tc>
        <w:tc>
          <w:tcPr>
            <w:tcW w:w="4278" w:type="dxa"/>
            <w:vAlign w:val="center"/>
          </w:tcPr>
          <w:p w14:paraId="7CBD38F7" w14:textId="48089193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Zo skupiny uchádzačov podávajúcich ponuky, ktorej zloženie je pri viacerých súťažiach takmer rovnaké, je ako úspešný vyhodnotený vždy iný uchádzač, pričom úspešnosť je možné odvodiť od záujmu realizovať zákazku v určitom regióne, alebo v rámci určitého typu služby, tovaru  alebo práce a pod.</w:t>
            </w:r>
          </w:p>
        </w:tc>
      </w:tr>
      <w:tr w:rsidR="0013284C" w14:paraId="70EA7E2F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51274F0E" w14:textId="20B6F9EB" w:rsidR="0013284C" w:rsidRDefault="0013284C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394" w:type="dxa"/>
            <w:vAlign w:val="center"/>
          </w:tcPr>
          <w:p w14:paraId="6C10BF53" w14:textId="5958DBD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Neúspešný uchádzač je zazmluvnený úspešným uchádzačom ako subdodávateľ</w:t>
            </w:r>
          </w:p>
        </w:tc>
        <w:tc>
          <w:tcPr>
            <w:tcW w:w="4278" w:type="dxa"/>
            <w:vAlign w:val="center"/>
          </w:tcPr>
          <w:p w14:paraId="5988D1EE" w14:textId="10B9DBE2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Pri kontrole </w:t>
            </w:r>
            <w:r w:rsidR="005E44E5" w:rsidRPr="005E44E5">
              <w:rPr>
                <w:rFonts w:asciiTheme="minorHAnsi" w:hAnsiTheme="minorHAnsi" w:cstheme="minorHAnsi"/>
                <w:i/>
                <w:szCs w:val="19"/>
              </w:rPr>
              <w:t>poskytovateľ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zistí skutočnosť, že s uchádzačom, ktorý bol v súťaži vyhodnotený ako neúspešný, uzavrel úspešný uchádzač v rámci plnenia predmetnej zákazky dodávateľskú zmluvu.</w:t>
            </w:r>
          </w:p>
        </w:tc>
      </w:tr>
      <w:tr w:rsidR="005E44E5" w14:paraId="5749EE4E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70C43081" w14:textId="4A480C77" w:rsidR="005E44E5" w:rsidRDefault="005E44E5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3185BB53" w14:textId="5E788467" w:rsidR="005E44E5" w:rsidRPr="0013284C" w:rsidRDefault="005E44E5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5E44E5">
              <w:rPr>
                <w:rFonts w:asciiTheme="minorHAnsi" w:hAnsiTheme="minorHAnsi" w:cstheme="minorHAnsi"/>
                <w:i/>
                <w:szCs w:val="19"/>
              </w:rPr>
              <w:t>Uchádzači využívajú v preukazovaní podmienok účasti finančné zdroje a odborné kapacity tých istých tretích osôb, resp. ako subdodávatelia sú identifikované tie isté subjekty</w:t>
            </w:r>
          </w:p>
        </w:tc>
        <w:tc>
          <w:tcPr>
            <w:tcW w:w="4278" w:type="dxa"/>
            <w:vAlign w:val="center"/>
          </w:tcPr>
          <w:p w14:paraId="6CCC146C" w14:textId="77777777" w:rsidR="005E44E5" w:rsidRPr="005E44E5" w:rsidRDefault="005E44E5" w:rsidP="005E44E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5E44E5">
              <w:rPr>
                <w:rFonts w:asciiTheme="minorHAnsi" w:hAnsiTheme="minorHAnsi" w:cstheme="minorHAnsi"/>
                <w:i/>
                <w:szCs w:val="19"/>
              </w:rPr>
              <w:t xml:space="preserve">Pre preukazovanie splnenia podmienok účasti podľa § 33 a § 34 ZVO využívajú uchádzači kapacity iných osôb („tretích strán“) pričom tieto iné osoby sú rovnaké pri viacerých uchádzačov. </w:t>
            </w:r>
          </w:p>
          <w:p w14:paraId="72703FBB" w14:textId="6C3871A3" w:rsidR="005E44E5" w:rsidRPr="0013284C" w:rsidRDefault="005E44E5" w:rsidP="005E44E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5E44E5">
              <w:rPr>
                <w:rFonts w:asciiTheme="minorHAnsi" w:hAnsiTheme="minorHAnsi" w:cstheme="minorHAnsi"/>
                <w:i/>
                <w:szCs w:val="19"/>
              </w:rPr>
              <w:t>Viacerí uchádzači majú v rámci svojich ponúk identifikovaných rovnakých subdodávateľov.</w:t>
            </w:r>
          </w:p>
        </w:tc>
      </w:tr>
      <w:tr w:rsidR="0013284C" w14:paraId="7C1130A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F7D266" w14:textId="45353A5A" w:rsidR="0013284C" w:rsidRDefault="005E44E5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4</w:t>
            </w:r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344F80AD" w14:textId="753DCB4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Medzi uchádzačmi je majetkové alebo osobné prepojenie</w:t>
            </w:r>
          </w:p>
        </w:tc>
        <w:tc>
          <w:tcPr>
            <w:tcW w:w="4278" w:type="dxa"/>
            <w:vAlign w:val="center"/>
          </w:tcPr>
          <w:p w14:paraId="69083CCB" w14:textId="4C63659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Medzi úspešným uchádzačom a iným uchádzačom je majetkové alebo osobné prepojenie, </w:t>
            </w:r>
            <w:r w:rsidR="005E44E5">
              <w:rPr>
                <w:rFonts w:asciiTheme="minorHAnsi" w:hAnsiTheme="minorHAnsi" w:cstheme="minorHAnsi"/>
                <w:i/>
                <w:szCs w:val="19"/>
              </w:rPr>
              <w:t>(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napr. štatutár úspešného uchádzača a štatutár neúspešného uchádzača sú spoločne štatutármi aj v inom subjekte, </w:t>
            </w:r>
            <w:r w:rsidR="005E44E5">
              <w:rPr>
                <w:rFonts w:asciiTheme="minorHAnsi" w:hAnsiTheme="minorHAnsi" w:cstheme="minorHAnsi"/>
                <w:i/>
                <w:szCs w:val="19"/>
              </w:rPr>
              <w:t>(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t>ktorý mohol alebo aj nemusel predložiť ponuku</w:t>
            </w:r>
            <w:r w:rsidR="005E44E5">
              <w:rPr>
                <w:rFonts w:asciiTheme="minorHAnsi" w:hAnsiTheme="minorHAnsi" w:cstheme="minorHAnsi"/>
                <w:i/>
                <w:szCs w:val="19"/>
              </w:rPr>
              <w:t>))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t>.</w:t>
            </w:r>
          </w:p>
        </w:tc>
      </w:tr>
      <w:tr w:rsidR="005E44E5" w14:paraId="236661C7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4EBF892D" w14:textId="27F139F2" w:rsidR="005E44E5" w:rsidDel="005E44E5" w:rsidRDefault="005E44E5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394" w:type="dxa"/>
            <w:vAlign w:val="center"/>
          </w:tcPr>
          <w:p w14:paraId="24FE5373" w14:textId="2A49994F" w:rsidR="005E44E5" w:rsidRPr="0013284C" w:rsidRDefault="005E44E5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5E44E5">
              <w:rPr>
                <w:rFonts w:asciiTheme="minorHAnsi" w:hAnsiTheme="minorHAnsi" w:cstheme="minorHAnsi"/>
                <w:i/>
                <w:szCs w:val="19"/>
              </w:rPr>
              <w:t>Niektorí uchádzači predkladajú opätovne svoju ponuku, avšak nikdy nie sú úspešní</w:t>
            </w:r>
          </w:p>
        </w:tc>
        <w:tc>
          <w:tcPr>
            <w:tcW w:w="4278" w:type="dxa"/>
            <w:vAlign w:val="center"/>
          </w:tcPr>
          <w:p w14:paraId="4BD41CEC" w14:textId="00BC3AA3" w:rsidR="005E44E5" w:rsidRPr="0013284C" w:rsidRDefault="005E44E5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5E44E5">
              <w:rPr>
                <w:rFonts w:asciiTheme="minorHAnsi" w:hAnsiTheme="minorHAnsi" w:cstheme="minorHAnsi"/>
                <w:i/>
                <w:szCs w:val="19"/>
              </w:rPr>
              <w:t>Vo viacerých súťažiach je možné identifikovať rovnakého uchádzača, ktorý sa súťaží vždy zúčastňuje, ale nikdy nie je úspešný.</w:t>
            </w:r>
          </w:p>
        </w:tc>
      </w:tr>
      <w:tr w:rsidR="005E44E5" w14:paraId="25187F5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1DC78DDB" w14:textId="6C48B1B5" w:rsidR="005E44E5" w:rsidDel="005E44E5" w:rsidRDefault="005E44E5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6.</w:t>
            </w:r>
          </w:p>
        </w:tc>
        <w:tc>
          <w:tcPr>
            <w:tcW w:w="4394" w:type="dxa"/>
            <w:vAlign w:val="center"/>
          </w:tcPr>
          <w:p w14:paraId="0B99D258" w14:textId="7986FFE0" w:rsidR="005E44E5" w:rsidRPr="0013284C" w:rsidRDefault="005E44E5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5E44E5">
              <w:rPr>
                <w:rFonts w:asciiTheme="minorHAnsi" w:hAnsiTheme="minorHAnsi" w:cstheme="minorHAnsi"/>
                <w:i/>
                <w:szCs w:val="19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4278" w:type="dxa"/>
            <w:vAlign w:val="center"/>
          </w:tcPr>
          <w:p w14:paraId="27272DE5" w14:textId="48AF8CB8" w:rsidR="005E44E5" w:rsidRPr="0013284C" w:rsidRDefault="005E44E5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5E44E5">
              <w:rPr>
                <w:rFonts w:asciiTheme="minorHAnsi" w:hAnsiTheme="minorHAnsi" w:cstheme="minorHAnsi"/>
                <w:i/>
                <w:szCs w:val="19"/>
              </w:rPr>
              <w:t>V súťaži je identifikovaný dodávateľ, o ktorom je všeobecne známe, že je kvalifikovaný podať ponuku aj bez vytvorenia skupiny dodávateľov, napriek tomu sa súťaže zúčastňuje v rámci spoločnej ponuky dvoch alebo viacerých dodávateľov</w:t>
            </w:r>
          </w:p>
        </w:tc>
      </w:tr>
      <w:tr w:rsidR="0013284C" w14:paraId="031A9030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3A85637F" w14:textId="260C72F4" w:rsidR="0013284C" w:rsidRDefault="005E44E5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7</w:t>
            </w:r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2A46C259" w14:textId="6647F0A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Predloženie tieňovej („krycej“) ponuky</w:t>
            </w:r>
          </w:p>
        </w:tc>
        <w:tc>
          <w:tcPr>
            <w:tcW w:w="4278" w:type="dxa"/>
            <w:vAlign w:val="center"/>
          </w:tcPr>
          <w:p w14:paraId="779AA78C" w14:textId="6CC38C1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Ponuky predložili aj uchádzači, ktorí nie sú zjavne kvalifikovaní resp. ich ponuka nespĺňa základné 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lastRenderedPageBreak/>
              <w:t>požiadavky určené verejným obstarávateľom.</w:t>
            </w:r>
          </w:p>
        </w:tc>
      </w:tr>
      <w:tr w:rsidR="0013284C" w14:paraId="232F7284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2D1A2B53" w14:textId="46A2AF77" w:rsidR="0013284C" w:rsidRDefault="005E44E5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lastRenderedPageBreak/>
              <w:t>8</w:t>
            </w:r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5FFCD73C" w14:textId="31DB244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Nízky počet ponúk/žiadostí o účasť</w:t>
            </w:r>
          </w:p>
        </w:tc>
        <w:tc>
          <w:tcPr>
            <w:tcW w:w="4278" w:type="dxa"/>
            <w:vAlign w:val="center"/>
          </w:tcPr>
          <w:p w14:paraId="01D9FF9A" w14:textId="0706C3C4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rámci súťaže bol predložený nízky počet ponúk alebo žiadostí o účasť (1 až 2).</w:t>
            </w:r>
          </w:p>
        </w:tc>
      </w:tr>
      <w:tr w:rsidR="0013284C" w14:paraId="1BA77D3B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48F4F0" w14:textId="6A32443D" w:rsidR="0013284C" w:rsidRDefault="005E44E5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9</w:t>
            </w:r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7FE99ADD" w14:textId="0942F765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schémy v stanovovaní cien</w:t>
            </w:r>
          </w:p>
        </w:tc>
        <w:tc>
          <w:tcPr>
            <w:tcW w:w="4278" w:type="dxa"/>
            <w:vAlign w:val="center"/>
          </w:tcPr>
          <w:p w14:paraId="1465DDDE" w14:textId="0CA0777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ceny predložené uchádzačmi sa oproti úspešnej ponuke zvyšujú o pravidelný % prírastok ,</w:t>
            </w:r>
          </w:p>
          <w:p w14:paraId="3DE8D09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2FD4493" w14:textId="318E5F3F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na stanovenie ceny sú pri viacerých uchádzačoch použité rovnaké kalkulácie,</w:t>
            </w:r>
          </w:p>
          <w:p w14:paraId="564A11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93C7458" w14:textId="321477F0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hodnoty všetkých predložených ponúk sú v porovnaní s predpokladanou hodnotou zákazky buď nad touto hodnotou, alebo tesne pod ňou,</w:t>
            </w:r>
          </w:p>
          <w:p w14:paraId="7480129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4855F8" w14:textId="2570DA7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výsledná suma víťaznej ponuky je neprimerane vysoká vzhľadom na sumy, ktoré vie </w:t>
            </w:r>
            <w:r w:rsidR="005E44E5">
              <w:rPr>
                <w:rFonts w:asciiTheme="minorHAnsi" w:hAnsiTheme="minorHAnsi" w:cstheme="minorHAnsi"/>
                <w:i/>
                <w:szCs w:val="19"/>
              </w:rPr>
              <w:t>poskytovateľ</w:t>
            </w: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 porovnať z verejne dostupných zdrojov alebo z vlastných databáz a zdrojov informácií o hodnotách podobných tovarov, prác a služieb,</w:t>
            </w:r>
          </w:p>
          <w:p w14:paraId="75BB368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2516EA8E" w14:textId="2365069B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súťaži je možné pozorovať náhly pokles ponukových cien pri vstupe uchádzača do súťaže, ktorý v predošlých podobných súťažiach nepredkladal ponuku.</w:t>
            </w:r>
          </w:p>
          <w:p w14:paraId="68769D6A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FE6FDE8" w14:textId="3CA386C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v prípade, že uchádzači vedia o ponukách (napr. predchádzajúce verejné obstarávanie bolo zrušené po otvorení ponúk) neúspešní uchádzači zvýšia ceny, alebo cena u väčšiny uchádzačov zostane rovnaká</w:t>
            </w:r>
          </w:p>
        </w:tc>
      </w:tr>
      <w:tr w:rsidR="0013284C" w14:paraId="0BE80B4D" w14:textId="77777777" w:rsidTr="001328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037C1302" w14:textId="7579B5D5" w:rsidR="0013284C" w:rsidRDefault="005E44E5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10</w:t>
            </w:r>
            <w:r w:rsidR="0013284C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4394" w:type="dxa"/>
            <w:vAlign w:val="center"/>
          </w:tcPr>
          <w:p w14:paraId="49F1EDA5" w14:textId="3CA567D2" w:rsidR="003A397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Podozrivé indície v dokumentácii z verejného obstarávania</w:t>
            </w:r>
          </w:p>
          <w:p w14:paraId="4E297987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21274AC3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7346BA8B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776864F3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3FBED042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70CC865A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68EAEBA1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1F7DB92A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57D764E5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1683D090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3A73BAD9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5373F4C2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5ED24D5F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27234835" w14:textId="77777777" w:rsidR="003A397C" w:rsidRPr="00C47A58" w:rsidRDefault="003A397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  <w:p w14:paraId="166E8502" w14:textId="66598901" w:rsidR="0013284C" w:rsidRPr="00C47A58" w:rsidRDefault="0013284C" w:rsidP="00C47A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4278" w:type="dxa"/>
            <w:vAlign w:val="center"/>
          </w:tcPr>
          <w:p w14:paraId="32B84F2F" w14:textId="22E43FD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14:paraId="29729392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3C29F54" w14:textId="2E4D5196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rovnaké chyby v jednotlivých dokumentoch, napr. pravopisné chyby, tlačiarenské chyby (rovnaké šmuhy od tlačiarne), matematické chyby (rovnaké zlé výpočty),</w:t>
            </w:r>
          </w:p>
          <w:p w14:paraId="673FA66E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3C6750E0" w14:textId="5E80F1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zhodné nepravidelnosti, napr. zoradenie dokumentov do ponuky s prehodenými stranami, chybné číslovanie strán,</w:t>
            </w:r>
          </w:p>
          <w:p w14:paraId="13BC52A0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29688C6" w14:textId="0358C4FD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dokumenty v elektronickej forme ukazujú, že ich vytvorila alebo upravovala jedna osoba,</w:t>
            </w:r>
          </w:p>
          <w:p w14:paraId="7F89D175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40A073F" w14:textId="3B5BDA9C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 xml:space="preserve">obálky od rôznych uchádzačov majú podobné poštové pečiatky, sú zasielané z jednej pošty, majú rovnaké frankovacie značky a známky, na podacích lístkoch je rovnaký rukopis, čísla kolkov v rôznych ponukách na seba nadväzujú, </w:t>
            </w:r>
          </w:p>
          <w:p w14:paraId="4DDE56C8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FC4C444" w14:textId="77D1D75A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483FA1A3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4AAA5060" w14:textId="03B00759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dokumenty o cenových ponukách obsahujú veľký počet opráv na poslednú chvíľu ako gumovanie, škrtanie alebo iné fyzické zmeny,</w:t>
            </w:r>
          </w:p>
          <w:p w14:paraId="131689A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02DA4D64" w14:textId="49122D6E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14:paraId="5965BAB6" w14:textId="77777777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  <w:p w14:paraId="6136BC70" w14:textId="41169DD8" w:rsidR="0013284C" w:rsidRPr="0013284C" w:rsidRDefault="0013284C" w:rsidP="0013284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  <w:r w:rsidRPr="0013284C">
              <w:rPr>
                <w:rFonts w:asciiTheme="minorHAnsi" w:hAnsiTheme="minorHAnsi" w:cstheme="minorHAnsi"/>
                <w:i/>
                <w:szCs w:val="19"/>
              </w:rPr>
              <w:t>ponuky viacerých uchádzačov obsahujú podstatný počet rovnakých odhadov nákladov na jednotlivé položky.</w:t>
            </w:r>
          </w:p>
        </w:tc>
      </w:tr>
    </w:tbl>
    <w:p w14:paraId="3147189B" w14:textId="77777777" w:rsidR="0013284C" w:rsidRPr="002316E3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sectPr w:rsidR="0013284C" w:rsidRPr="002316E3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D25E" w14:textId="77777777" w:rsidR="006B6093" w:rsidRDefault="006B6093">
      <w:r>
        <w:separator/>
      </w:r>
    </w:p>
    <w:p w14:paraId="250538F1" w14:textId="77777777" w:rsidR="006B6093" w:rsidRDefault="006B6093"/>
  </w:endnote>
  <w:endnote w:type="continuationSeparator" w:id="0">
    <w:p w14:paraId="6FA8130C" w14:textId="77777777" w:rsidR="006B6093" w:rsidRDefault="006B6093">
      <w:r>
        <w:continuationSeparator/>
      </w:r>
    </w:p>
    <w:p w14:paraId="1DEFA2B5" w14:textId="77777777" w:rsidR="006B6093" w:rsidRDefault="006B6093"/>
  </w:endnote>
  <w:endnote w:type="continuationNotice" w:id="1">
    <w:p w14:paraId="2B2C8748" w14:textId="77777777" w:rsidR="006B6093" w:rsidRDefault="006B60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5969A" w14:textId="77777777" w:rsidR="00014562" w:rsidRDefault="000145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B757A" w14:textId="6DEA060F" w:rsidR="007C0933" w:rsidRDefault="007C0933" w:rsidP="007C0933">
        <w:pPr>
          <w:pStyle w:val="Hlavika"/>
          <w:rPr>
            <w:szCs w:val="16"/>
          </w:rPr>
        </w:pPr>
        <w:r>
          <w:rPr>
            <w:szCs w:val="16"/>
          </w:rPr>
          <w:t>Príručka pre verejné obstarávanie</w:t>
        </w:r>
      </w:p>
      <w:p w14:paraId="74D689AE" w14:textId="7449F521" w:rsidR="007C0933" w:rsidRDefault="007C0933" w:rsidP="007C0933">
        <w:pPr>
          <w:pStyle w:val="Hlavika"/>
          <w:rPr>
            <w:szCs w:val="16"/>
          </w:rPr>
        </w:pPr>
        <w:r>
          <w:rPr>
            <w:szCs w:val="16"/>
          </w:rPr>
          <w:t xml:space="preserve">Príloha č. 12 – </w:t>
        </w:r>
        <w:r w:rsidRPr="007C0933">
          <w:rPr>
            <w:szCs w:val="16"/>
          </w:rPr>
          <w:t>Rizikové indikátory k možným porušeniam zákona o ochrane hospodárskej súťaže</w:t>
        </w:r>
      </w:p>
      <w:p w14:paraId="57E8C206" w14:textId="61FE866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A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CAC3D" w14:textId="77777777" w:rsidR="00014562" w:rsidRDefault="000145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AEA60" w14:textId="77777777" w:rsidR="006B6093" w:rsidRDefault="006B6093">
      <w:r>
        <w:separator/>
      </w:r>
    </w:p>
    <w:p w14:paraId="748E2DDA" w14:textId="77777777" w:rsidR="006B6093" w:rsidRDefault="006B6093"/>
  </w:footnote>
  <w:footnote w:type="continuationSeparator" w:id="0">
    <w:p w14:paraId="4F76D43C" w14:textId="77777777" w:rsidR="006B6093" w:rsidRDefault="006B6093">
      <w:r>
        <w:continuationSeparator/>
      </w:r>
    </w:p>
    <w:p w14:paraId="1CB8CF6D" w14:textId="77777777" w:rsidR="006B6093" w:rsidRDefault="006B6093"/>
  </w:footnote>
  <w:footnote w:type="continuationNotice" w:id="1">
    <w:p w14:paraId="33E7EAAD" w14:textId="77777777" w:rsidR="006B6093" w:rsidRDefault="006B6093"/>
  </w:footnote>
  <w:footnote w:id="2">
    <w:p w14:paraId="6B7D984D" w14:textId="07EE1328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79209" w14:textId="77777777" w:rsidR="00014562" w:rsidRDefault="000145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58F33CED" w:rsidR="006D04C5" w:rsidRPr="00624DC2" w:rsidRDefault="00014562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675236C" wp14:editId="7F31EA87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DEFC5" w14:textId="77777777" w:rsidR="00014562" w:rsidRDefault="0001456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7A58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09CD8B0D-5E0D-468D-888C-BFE0E61E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C06140-6D74-485D-A6F5-6CFB86D83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E7D4A2-55DC-4E58-887D-05EEDDA3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14</cp:revision>
  <cp:lastPrinted>2006-02-10T13:19:00Z</cp:lastPrinted>
  <dcterms:created xsi:type="dcterms:W3CDTF">2015-06-23T08:12:00Z</dcterms:created>
  <dcterms:modified xsi:type="dcterms:W3CDTF">2016-11-03T13:47:00Z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